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60" w:rsidRPr="00C0024A" w:rsidRDefault="00AA2396" w:rsidP="00C0024A">
      <w:pPr>
        <w:spacing w:after="0" w:line="240" w:lineRule="auto"/>
        <w:ind w:left="0" w:right="136" w:firstLine="0"/>
        <w:jc w:val="center"/>
        <w:rPr>
          <w:rFonts w:asciiTheme="minorEastAsia" w:eastAsiaTheme="minorEastAsia" w:hAnsiTheme="minorEastAsia"/>
          <w:b/>
          <w:sz w:val="32"/>
          <w:vertAlign w:val="subscript"/>
        </w:rPr>
      </w:pPr>
      <w:r w:rsidRPr="00C0024A">
        <w:rPr>
          <w:rFonts w:asciiTheme="minorEastAsia" w:eastAsiaTheme="minorEastAsia" w:hAnsiTheme="minorEastAsia"/>
          <w:b/>
          <w:sz w:val="32"/>
        </w:rPr>
        <w:t>防</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火</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安</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全</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誓</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約</w:t>
      </w:r>
      <w:r w:rsidR="00C0024A">
        <w:rPr>
          <w:rFonts w:asciiTheme="minorEastAsia" w:eastAsiaTheme="minorEastAsia" w:hAnsiTheme="minorEastAsia" w:hint="eastAsia"/>
          <w:b/>
          <w:sz w:val="32"/>
        </w:rPr>
        <w:t xml:space="preserve"> </w:t>
      </w:r>
      <w:r w:rsidRPr="00C0024A">
        <w:rPr>
          <w:rFonts w:asciiTheme="minorEastAsia" w:eastAsiaTheme="minorEastAsia" w:hAnsiTheme="minorEastAsia"/>
          <w:b/>
          <w:sz w:val="32"/>
        </w:rPr>
        <w:t>書</w:t>
      </w:r>
    </w:p>
    <w:p w:rsidR="00C0024A" w:rsidRDefault="00C0024A" w:rsidP="00C0024A">
      <w:pPr>
        <w:spacing w:after="0" w:line="240" w:lineRule="auto"/>
        <w:ind w:left="0" w:right="136" w:firstLine="0"/>
        <w:jc w:val="center"/>
      </w:pPr>
    </w:p>
    <w:p w:rsidR="00600660" w:rsidRDefault="00C0024A">
      <w:pPr>
        <w:spacing w:after="48"/>
        <w:ind w:left="0" w:firstLine="0"/>
        <w:jc w:val="right"/>
      </w:pPr>
      <w:r>
        <w:rPr>
          <w:rFonts w:ascii="Century" w:eastAsia="Century" w:hAnsi="Century" w:cs="Century"/>
          <w:noProof/>
        </w:rPr>
        <mc:AlternateContent>
          <mc:Choice Requires="wps">
            <w:drawing>
              <wp:inline distT="0" distB="0" distL="0" distR="0" wp14:anchorId="25C044A5" wp14:editId="5C164262">
                <wp:extent cx="6119495" cy="7199630"/>
                <wp:effectExtent l="0" t="0" r="14605" b="20320"/>
                <wp:docPr id="1" name="角丸四角形 1"/>
                <wp:cNvGraphicFramePr/>
                <a:graphic xmlns:a="http://schemas.openxmlformats.org/drawingml/2006/main">
                  <a:graphicData uri="http://schemas.microsoft.com/office/word/2010/wordprocessingShape">
                    <wps:wsp>
                      <wps:cNvSpPr/>
                      <wps:spPr>
                        <a:xfrm>
                          <a:off x="0" y="0"/>
                          <a:ext cx="6119495" cy="7199630"/>
                        </a:xfrm>
                        <a:prstGeom prst="roundRect">
                          <a:avLst>
                            <a:gd name="adj" fmla="val 234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24A" w:rsidRDefault="00C0024A" w:rsidP="00C0024A">
                            <w:pPr>
                              <w:spacing w:after="0" w:line="240" w:lineRule="auto"/>
                              <w:ind w:left="0" w:hanging="11"/>
                              <w:jc w:val="center"/>
                            </w:pPr>
                          </w:p>
                          <w:p w:rsidR="00C0024A" w:rsidRPr="00741CE9" w:rsidRDefault="00C0024A" w:rsidP="00C0024A">
                            <w:pPr>
                              <w:spacing w:after="0" w:line="240" w:lineRule="auto"/>
                              <w:ind w:left="0" w:hanging="11"/>
                              <w:jc w:val="center"/>
                              <w:rPr>
                                <w:rFonts w:asciiTheme="majorEastAsia" w:eastAsiaTheme="majorEastAsia" w:hAnsiTheme="majorEastAsia"/>
                              </w:rPr>
                            </w:pPr>
                            <w:r w:rsidRPr="00741CE9">
                              <w:rPr>
                                <w:rFonts w:asciiTheme="majorEastAsia" w:eastAsiaTheme="majorEastAsia" w:hAnsiTheme="majorEastAsia" w:hint="eastAsia"/>
                                <w:sz w:val="24"/>
                                <w:bdr w:val="single" w:sz="4" w:space="0" w:color="auto"/>
                              </w:rPr>
                              <w:t>防火安全指針</w:t>
                            </w:r>
                          </w:p>
                          <w:p w:rsidR="00C0024A" w:rsidRDefault="00C0024A" w:rsidP="00C0024A">
                            <w:pPr>
                              <w:spacing w:after="0" w:line="240" w:lineRule="auto"/>
                              <w:ind w:left="0" w:hanging="11"/>
                              <w:jc w:val="center"/>
                              <w:rPr>
                                <w:rFonts w:hint="eastAsia"/>
                              </w:rPr>
                            </w:pPr>
                          </w:p>
                          <w:p w:rsidR="00C0024A" w:rsidRPr="00741CE9" w:rsidRDefault="00D93C2E"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１</w:t>
                            </w:r>
                            <w:r w:rsidRPr="00741CE9">
                              <w:rPr>
                                <w:rFonts w:asciiTheme="majorEastAsia" w:eastAsiaTheme="majorEastAsia" w:hAnsiTheme="majorEastAsia"/>
                                <w:sz w:val="24"/>
                                <w:u w:val="single"/>
                              </w:rPr>
                              <w:t xml:space="preserve">　</w:t>
                            </w:r>
                            <w:r w:rsidR="00C0024A" w:rsidRPr="00741CE9">
                              <w:rPr>
                                <w:rFonts w:asciiTheme="majorEastAsia" w:eastAsiaTheme="majorEastAsia" w:hAnsiTheme="majorEastAsia"/>
                                <w:sz w:val="24"/>
                                <w:u w:val="single"/>
                              </w:rPr>
                              <w:t>露店・屋台等の設営について （テント・消火器具・電源等）</w:t>
                            </w:r>
                          </w:p>
                          <w:p w:rsidR="00C0024A" w:rsidRP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避難通路や防火水槽・消火栓等消防水利の妨げになる場所には、設営しない。</w:t>
                            </w:r>
                          </w:p>
                          <w:p w:rsid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強風等で屋台・テントが倒壊・飛散しないように固定をする。</w:t>
                            </w:r>
                          </w:p>
                          <w:p w:rsidR="00C0024A" w:rsidRP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消火器など必要な消火器具の準備をする。</w:t>
                            </w:r>
                            <w:r w:rsidR="00C0024A" w:rsidRPr="00741CE9">
                              <w:rPr>
                                <w:rFonts w:asciiTheme="minorEastAsia" w:eastAsiaTheme="minorEastAsia" w:hAnsiTheme="minorEastAsia"/>
                                <w:sz w:val="24"/>
                              </w:rPr>
                              <w:t xml:space="preserve">  </w:t>
                            </w:r>
                          </w:p>
                          <w:p w:rsidR="00C0024A" w:rsidRPr="00741CE9" w:rsidRDefault="00741CE9" w:rsidP="00741CE9">
                            <w:pPr>
                              <w:spacing w:after="0" w:line="240" w:lineRule="auto"/>
                              <w:ind w:leftChars="95" w:left="439" w:hangingChars="100" w:hanging="240"/>
                              <w:jc w:val="both"/>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電源は送電電気を使用する。（送電電気が使用できない場合で、止むを得ず携帯発電機を使用する場合は、３</w:t>
                            </w:r>
                            <w:r w:rsidR="00C0024A" w:rsidRPr="00741CE9">
                              <w:rPr>
                                <w:rFonts w:asciiTheme="minorEastAsia" w:eastAsiaTheme="minorEastAsia" w:hAnsiTheme="minorEastAsia"/>
                                <w:sz w:val="24"/>
                              </w:rPr>
                              <w:t>を遵守する。）</w:t>
                            </w:r>
                          </w:p>
                          <w:p w:rsidR="00C0024A" w:rsidRPr="00741CE9" w:rsidRDefault="00C0024A"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２</w:t>
                            </w:r>
                            <w:r w:rsidR="00D93C2E" w:rsidRPr="00741CE9">
                              <w:rPr>
                                <w:rFonts w:asciiTheme="majorEastAsia" w:eastAsiaTheme="majorEastAsia" w:hAnsiTheme="majorEastAsia" w:hint="eastAsia"/>
                                <w:sz w:val="24"/>
                                <w:u w:val="single"/>
                              </w:rPr>
                              <w:t xml:space="preserve">　</w:t>
                            </w:r>
                            <w:r w:rsidR="00741CE9" w:rsidRPr="00741CE9">
                              <w:rPr>
                                <w:rFonts w:asciiTheme="majorEastAsia" w:eastAsiaTheme="majorEastAsia" w:hAnsiTheme="majorEastAsia"/>
                                <w:sz w:val="24"/>
                                <w:u w:val="single"/>
                              </w:rPr>
                              <w:t>ＬＰ</w:t>
                            </w:r>
                            <w:r w:rsidRPr="00741CE9">
                              <w:rPr>
                                <w:rFonts w:asciiTheme="majorEastAsia" w:eastAsiaTheme="majorEastAsia" w:hAnsiTheme="majorEastAsia"/>
                                <w:sz w:val="24"/>
                                <w:u w:val="single"/>
                              </w:rPr>
                              <w:t>ガスの使用について （ボンベ・火気使用器具等）</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ボンベは、火気から離れた直射日光の当たらない通気性の良い場所に設置する。</w:t>
                            </w:r>
                          </w:p>
                          <w:p w:rsidR="00C0024A" w:rsidRPr="00741CE9" w:rsidRDefault="00741CE9" w:rsidP="00741CE9">
                            <w:pPr>
                              <w:spacing w:after="0" w:line="240" w:lineRule="auto"/>
                              <w:ind w:leftChars="95" w:left="43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ボンベは、安定した場所に転倒しないよう設置するとともに必要に応じ観客等と区画する。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コンロの周囲は可燃物から１</w:t>
                            </w:r>
                            <w:r>
                              <w:rPr>
                                <w:rFonts w:asciiTheme="minorEastAsia" w:eastAsiaTheme="minorEastAsia" w:hAnsiTheme="minorEastAsia" w:hint="eastAsia"/>
                                <w:sz w:val="24"/>
                              </w:rPr>
                              <w:t>５</w:t>
                            </w:r>
                            <w:r>
                              <w:rPr>
                                <w:rFonts w:asciiTheme="minorEastAsia" w:eastAsiaTheme="minorEastAsia" w:hAnsiTheme="minorEastAsia"/>
                                <w:sz w:val="24"/>
                              </w:rPr>
                              <w:t>ｃｍ以上、上方１</w:t>
                            </w:r>
                            <w:r>
                              <w:rPr>
                                <w:rFonts w:asciiTheme="minorEastAsia" w:eastAsiaTheme="minorEastAsia" w:hAnsiTheme="minorEastAsia" w:hint="eastAsia"/>
                                <w:sz w:val="24"/>
                              </w:rPr>
                              <w:t>ｍ</w:t>
                            </w:r>
                            <w:r w:rsidR="00C0024A" w:rsidRPr="00741CE9">
                              <w:rPr>
                                <w:rFonts w:asciiTheme="minorEastAsia" w:eastAsiaTheme="minorEastAsia" w:hAnsiTheme="minorEastAsia"/>
                                <w:sz w:val="24"/>
                              </w:rPr>
                              <w:t>以上の距離を保つ。</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火気使用器具の周囲は常に整理及び清掃に努める。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ゴムホースは適正な長さで、ひび割れ等の劣化のない専用のものを使用する。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D93C2E" w:rsidRPr="00741CE9">
                              <w:rPr>
                                <w:rFonts w:asciiTheme="minorEastAsia" w:eastAsiaTheme="minorEastAsia" w:hAnsiTheme="minorEastAsia"/>
                                <w:sz w:val="24"/>
                              </w:rPr>
                              <w:t>火気使用器具とホースの接続は確実に行</w:t>
                            </w:r>
                            <w:r w:rsidR="00C0024A" w:rsidRPr="00741CE9">
                              <w:rPr>
                                <w:rFonts w:asciiTheme="minorEastAsia" w:eastAsiaTheme="minorEastAsia" w:hAnsiTheme="minorEastAsia"/>
                                <w:sz w:val="24"/>
                              </w:rPr>
                              <w:t>い、ホースバンドで固定する。</w:t>
                            </w:r>
                          </w:p>
                          <w:p w:rsidR="00C0024A" w:rsidRPr="00741CE9" w:rsidRDefault="00741CE9" w:rsidP="00741CE9">
                            <w:pPr>
                              <w:spacing w:after="0" w:line="240" w:lineRule="auto"/>
                              <w:ind w:leftChars="95" w:left="43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１本のボンベから２本以上の機器に分岐してガスを供給しない。</w:t>
                            </w:r>
                            <w:r w:rsidR="00C0024A" w:rsidRPr="00741CE9">
                              <w:rPr>
                                <w:rFonts w:asciiTheme="minorEastAsia" w:eastAsiaTheme="minorEastAsia" w:hAnsiTheme="minorEastAsia" w:hint="eastAsia"/>
                                <w:sz w:val="24"/>
                              </w:rPr>
                              <w:t>（それぞれに開閉栓を設けた場合を除く）</w:t>
                            </w:r>
                          </w:p>
                          <w:p w:rsidR="00C0024A" w:rsidRPr="00741CE9" w:rsidRDefault="00C0024A"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３</w:t>
                            </w:r>
                            <w:r w:rsidR="00D93C2E" w:rsidRPr="00741CE9">
                              <w:rPr>
                                <w:rFonts w:asciiTheme="majorEastAsia" w:eastAsiaTheme="majorEastAsia" w:hAnsiTheme="majorEastAsia" w:hint="eastAsia"/>
                                <w:sz w:val="24"/>
                                <w:u w:val="single"/>
                              </w:rPr>
                              <w:t xml:space="preserve">　</w:t>
                            </w:r>
                            <w:r w:rsidRPr="00741CE9">
                              <w:rPr>
                                <w:rFonts w:asciiTheme="majorEastAsia" w:eastAsiaTheme="majorEastAsia" w:hAnsiTheme="majorEastAsia"/>
                                <w:sz w:val="24"/>
                                <w:u w:val="single"/>
                              </w:rPr>
                              <w:t>ガソリン等の貯蔵･取扱いについて（送電電気が使用出来ない場合に限る）</w:t>
                            </w:r>
                          </w:p>
                          <w:p w:rsidR="00C0024A" w:rsidRPr="00741CE9" w:rsidRDefault="00C0024A" w:rsidP="00741CE9">
                            <w:pPr>
                              <w:spacing w:after="0" w:line="240" w:lineRule="auto"/>
                              <w:ind w:leftChars="95" w:left="210" w:hanging="11"/>
                              <w:rPr>
                                <w:rFonts w:asciiTheme="minorEastAsia" w:eastAsiaTheme="minorEastAsia" w:hAnsiTheme="minorEastAsia"/>
                                <w:sz w:val="24"/>
                              </w:rPr>
                            </w:pPr>
                            <w:r w:rsidRPr="00741CE9">
                              <w:rPr>
                                <w:rFonts w:asciiTheme="minorEastAsia" w:eastAsiaTheme="minorEastAsia" w:hAnsiTheme="minorEastAsia" w:hint="eastAsia"/>
                                <w:sz w:val="24"/>
                              </w:rPr>
                              <w:t>※ガソリン等の貯蔵、取扱いを行う場合は、事前に消防署へ相談する。</w:t>
                            </w:r>
                          </w:p>
                          <w:p w:rsidR="00C0024A" w:rsidRPr="00741CE9" w:rsidRDefault="00C0024A" w:rsidP="00D93C2E">
                            <w:pPr>
                              <w:spacing w:after="0" w:line="240" w:lineRule="auto"/>
                              <w:ind w:left="0" w:hanging="11"/>
                              <w:rPr>
                                <w:rFonts w:asciiTheme="minorEastAsia" w:eastAsiaTheme="minorEastAsia" w:hAnsiTheme="minorEastAsia"/>
                                <w:sz w:val="24"/>
                              </w:rPr>
                            </w:pPr>
                            <w:r w:rsidRPr="00741CE9">
                              <w:rPr>
                                <w:rFonts w:asciiTheme="minorEastAsia" w:eastAsiaTheme="minorEastAsia" w:hAnsiTheme="minorEastAsia" w:hint="eastAsia"/>
                                <w:sz w:val="24"/>
                              </w:rPr>
                              <w:t>（１）</w:t>
                            </w:r>
                            <w:r w:rsidRPr="00741CE9">
                              <w:rPr>
                                <w:rFonts w:asciiTheme="minorEastAsia" w:eastAsiaTheme="minorEastAsia" w:hAnsiTheme="minorEastAsia"/>
                                <w:sz w:val="24"/>
                              </w:rPr>
                              <w:t>保管・取扱いの一般的な注意事項</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ガソリン等の保管又は取扱い場所では、みだりに火気を使用しない</w:t>
                            </w:r>
                            <w:r w:rsidR="00C0024A" w:rsidRPr="00741CE9">
                              <w:rPr>
                                <w:rFonts w:asciiTheme="minorEastAsia" w:eastAsiaTheme="minorEastAsia" w:hAnsiTheme="minorEastAsia"/>
                                <w:sz w:val="24"/>
                              </w:rPr>
                              <w:t>(ライター･たばこ･たき火</w:t>
                            </w:r>
                            <w:r>
                              <w:rPr>
                                <w:rFonts w:asciiTheme="minorEastAsia" w:eastAsiaTheme="minorEastAsia" w:hAnsiTheme="minorEastAsia"/>
                                <w:sz w:val="24"/>
                              </w:rPr>
                              <w:t>)</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容器は消防法令に適合した金属製容器を使用し、キャップを確実に締める。</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容器は、火気や高温部から離れた、直射日光の当たらない通気性の良い床面で保管する。</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ガソリン等を保管又は取扱う場合は、観客等から十分に安全な距離を取る。</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開口前の圧力調整弁（圧抜き）の操作等は、容器の取扱説明書等に従い適正に行う。</w:t>
                            </w:r>
                          </w:p>
                          <w:p w:rsidR="00C0024A" w:rsidRPr="00741CE9" w:rsidRDefault="00C0024A" w:rsidP="00D93C2E">
                            <w:pPr>
                              <w:spacing w:after="0" w:line="240" w:lineRule="auto"/>
                              <w:ind w:left="0" w:hanging="11"/>
                              <w:rPr>
                                <w:rFonts w:asciiTheme="minorEastAsia" w:eastAsiaTheme="minorEastAsia" w:hAnsiTheme="minorEastAsia"/>
                                <w:sz w:val="24"/>
                              </w:rPr>
                            </w:pPr>
                            <w:r w:rsidRPr="00741CE9">
                              <w:rPr>
                                <w:rFonts w:asciiTheme="minorEastAsia" w:eastAsiaTheme="minorEastAsia" w:hAnsiTheme="minorEastAsia" w:hint="eastAsia"/>
                                <w:sz w:val="24"/>
                              </w:rPr>
                              <w:t>（２）</w:t>
                            </w:r>
                            <w:r w:rsidRPr="00741CE9">
                              <w:rPr>
                                <w:rFonts w:asciiTheme="minorEastAsia" w:eastAsiaTheme="minorEastAsia" w:hAnsiTheme="minorEastAsia"/>
                                <w:sz w:val="24"/>
                              </w:rPr>
                              <w:t>発電機の使用</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ガソリン等を燃料とする発電機を止むを得ず使用する場合は、安全な場所に設置し管理するとともに、必要に応じロープ等により観客等と区画する。</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発電機の運転中の燃料補給は絶対に行わない。</w:t>
                            </w:r>
                          </w:p>
                          <w:p w:rsidR="00C0024A"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イベント開催中は会場内での給油は絶対に行わない。</w:t>
                            </w:r>
                          </w:p>
                          <w:p w:rsidR="00741CE9" w:rsidRDefault="00741CE9" w:rsidP="00741CE9">
                            <w:pPr>
                              <w:spacing w:after="0" w:line="240" w:lineRule="auto"/>
                              <w:ind w:leftChars="195" w:left="420" w:hanging="11"/>
                              <w:rPr>
                                <w:rFonts w:hint="eastAsia"/>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25C044A5" id="角丸四角形 1" o:spid="_x0000_s1026" style="width:481.85pt;height:566.9pt;visibility:visible;mso-wrap-style:square;mso-left-percent:-10001;mso-top-percent:-10001;mso-position-horizontal:absolute;mso-position-horizontal-relative:char;mso-position-vertical:absolute;mso-position-vertical-relative:line;mso-left-percent:-10001;mso-top-percent:-10001;v-text-anchor:top"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xswwIAALwFAAAOAAAAZHJzL2Uyb0RvYy54bWysVM1uEzEQviPxDpbvdLPpH4m6qaJWRUhV&#10;qdqinh2v3V1ke4ztJBseg2tvXHiFXngbKvEYjL0/KVBxQOSwmbFnPs9883N03GhFVsL5GkxB850R&#10;JcJwKGtzV9D3N2evXlPiAzMlU2BEQTfC0+PZyxdHazsVY6hAlcIRBDF+urYFrUKw0yzzvBKa+R2w&#10;wuClBKdZQNXdZaVja0TXKhuPRgfZGlxpHXDhPZ6etpd0lvClFDy8k9KLQFRBMbaQvi59F/GbzY7Y&#10;9M4xW9W8C4P9QxSa1QYfHaBOWWBk6eo/oHTNHXiQYYeDzkDKmouUA2aTj37L5rpiVqRckBxvB5r8&#10;/4PlF6tLR+oSa0eJYRpL9OPr5+8PD4/39yg8fvtC8kjS2vop2l7bS9dpHsWYcSOdjv+YC2kSsZuB&#10;WNEEwvHwIM8ne5N9SjjeHeaTycFuoj7bulvnwxsBmkShoA6WprzC8iVW2erch0Rv2QXJyg+USK2w&#10;WCumyHh37zCGiYCdLUo9ZHQ0cFYrlaqtTDzwoOoyniUltps4UY4gWEFDk3JGiCdWqEXPLDLR5p6k&#10;sFEiQihzJSQSidmOU8yphbeYjHNhQt5eVawU7VP7I/x1kQ8eKY8EGJElBjlgdwC/xttjtwR09tFV&#10;pAkYnEd/C6x1HjzSy2DC4KxrA+45AIVZdS+39j1JLTWRpdAsGjSJ4gLKDXacg3YUveVnNVb8nPlw&#10;yRyWE6cU90l4hx+pYF1Q6CRKKnCfnjuP9jgSeEvJGme5oP7jkjlBiXprcFgOcVPE4U8KCu7p6aI/&#10;NUt9Alh9HASMKonRNqhelA70La6beXwNr5jh+Ca2Sy+ehHaz4LriYj5PRjjmloVzc215hI60xr68&#10;aW6Zs12zB5yTC+invWvhltKtbfQ0MF8GkHWIl1s2OwVXROqcbp3FHfRUT1bbpTv7CQAA//8DAFBL&#10;AwQUAAYACAAAACEArmq1C90AAAAGAQAADwAAAGRycy9kb3ducmV2LnhtbEyPzU7DMBCE70i8g7VI&#10;3KjTBkIJcSqEBL2B+iP1uo2XJBCvq9ht0rdn4QKXkVYzmvm2WIyuUyfqQ+vZwHSSgCKuvG25NrDd&#10;vNzMQYWIbLHzTAbOFGBRXl4UmFs/8IpO61grKeGQo4EmxkOudagachgm/kAs3ofvHUY5+1rbHgcp&#10;d52eJUmmHbYsCw0e6Lmh6mt9dAZel6uYYbq9Hd5nd292d97swvLTmOur8ekRVKQx/oXhB1/QoRSm&#10;vT+yDaozII/EXxXvIUvvQe0lNE3TOeiy0P/xy28AAAD//wMAUEsBAi0AFAAGAAgAAAAhALaDOJL+&#10;AAAA4QEAABMAAAAAAAAAAAAAAAAAAAAAAFtDb250ZW50X1R5cGVzXS54bWxQSwECLQAUAAYACAAA&#10;ACEAOP0h/9YAAACUAQAACwAAAAAAAAAAAAAAAAAvAQAAX3JlbHMvLnJlbHNQSwECLQAUAAYACAAA&#10;ACEAwtu8bMMCAAC8BQAADgAAAAAAAAAAAAAAAAAuAgAAZHJzL2Uyb0RvYy54bWxQSwECLQAUAAYA&#10;CAAAACEArmq1C90AAAAGAQAADwAAAAAAAAAAAAAAAAAdBQAAZHJzL2Rvd25yZXYueG1sUEsFBgAA&#10;AAAEAAQA8wAAACcGAAAAAA==&#10;" filled="f" strokecolor="black [3213]" strokeweight="1pt">
                <v:stroke joinstyle="miter"/>
                <v:textbox inset="2mm,0,2mm,0">
                  <w:txbxContent>
                    <w:p w:rsidR="00C0024A" w:rsidRDefault="00C0024A" w:rsidP="00C0024A">
                      <w:pPr>
                        <w:spacing w:after="0" w:line="240" w:lineRule="auto"/>
                        <w:ind w:left="0" w:hanging="11"/>
                        <w:jc w:val="center"/>
                      </w:pPr>
                    </w:p>
                    <w:p w:rsidR="00C0024A" w:rsidRPr="00741CE9" w:rsidRDefault="00C0024A" w:rsidP="00C0024A">
                      <w:pPr>
                        <w:spacing w:after="0" w:line="240" w:lineRule="auto"/>
                        <w:ind w:left="0" w:hanging="11"/>
                        <w:jc w:val="center"/>
                        <w:rPr>
                          <w:rFonts w:asciiTheme="majorEastAsia" w:eastAsiaTheme="majorEastAsia" w:hAnsiTheme="majorEastAsia"/>
                        </w:rPr>
                      </w:pPr>
                      <w:r w:rsidRPr="00741CE9">
                        <w:rPr>
                          <w:rFonts w:asciiTheme="majorEastAsia" w:eastAsiaTheme="majorEastAsia" w:hAnsiTheme="majorEastAsia" w:hint="eastAsia"/>
                          <w:sz w:val="24"/>
                          <w:bdr w:val="single" w:sz="4" w:space="0" w:color="auto"/>
                        </w:rPr>
                        <w:t>防火安全指針</w:t>
                      </w:r>
                    </w:p>
                    <w:p w:rsidR="00C0024A" w:rsidRDefault="00C0024A" w:rsidP="00C0024A">
                      <w:pPr>
                        <w:spacing w:after="0" w:line="240" w:lineRule="auto"/>
                        <w:ind w:left="0" w:hanging="11"/>
                        <w:jc w:val="center"/>
                        <w:rPr>
                          <w:rFonts w:hint="eastAsia"/>
                        </w:rPr>
                      </w:pPr>
                    </w:p>
                    <w:p w:rsidR="00C0024A" w:rsidRPr="00741CE9" w:rsidRDefault="00D93C2E"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１</w:t>
                      </w:r>
                      <w:r w:rsidRPr="00741CE9">
                        <w:rPr>
                          <w:rFonts w:asciiTheme="majorEastAsia" w:eastAsiaTheme="majorEastAsia" w:hAnsiTheme="majorEastAsia"/>
                          <w:sz w:val="24"/>
                          <w:u w:val="single"/>
                        </w:rPr>
                        <w:t xml:space="preserve">　</w:t>
                      </w:r>
                      <w:r w:rsidR="00C0024A" w:rsidRPr="00741CE9">
                        <w:rPr>
                          <w:rFonts w:asciiTheme="majorEastAsia" w:eastAsiaTheme="majorEastAsia" w:hAnsiTheme="majorEastAsia"/>
                          <w:sz w:val="24"/>
                          <w:u w:val="single"/>
                        </w:rPr>
                        <w:t>露店・屋台等の設営について （テント・消火器具・電源等）</w:t>
                      </w:r>
                    </w:p>
                    <w:p w:rsidR="00C0024A" w:rsidRP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避難通路や防火水槽・消火栓等消防水利の妨げになる場所には、設営しない。</w:t>
                      </w:r>
                    </w:p>
                    <w:p w:rsid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強風等で屋台・テントが倒壊・飛散しないように固定をする。</w:t>
                      </w:r>
                    </w:p>
                    <w:p w:rsidR="00C0024A" w:rsidRPr="00741CE9" w:rsidRDefault="00741CE9" w:rsidP="00741CE9">
                      <w:pPr>
                        <w:spacing w:after="0" w:line="240" w:lineRule="auto"/>
                        <w:ind w:leftChars="100" w:left="210" w:firstLine="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消火器など必要な消火器具の準備をする。</w:t>
                      </w:r>
                      <w:r w:rsidR="00C0024A" w:rsidRPr="00741CE9">
                        <w:rPr>
                          <w:rFonts w:asciiTheme="minorEastAsia" w:eastAsiaTheme="minorEastAsia" w:hAnsiTheme="minorEastAsia"/>
                          <w:sz w:val="24"/>
                        </w:rPr>
                        <w:t xml:space="preserve">  </w:t>
                      </w:r>
                    </w:p>
                    <w:p w:rsidR="00C0024A" w:rsidRPr="00741CE9" w:rsidRDefault="00741CE9" w:rsidP="00741CE9">
                      <w:pPr>
                        <w:spacing w:after="0" w:line="240" w:lineRule="auto"/>
                        <w:ind w:leftChars="95" w:left="439" w:hangingChars="100" w:hanging="240"/>
                        <w:jc w:val="both"/>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電源は送電電気を使用する。（送電電気が使用できない場合で、止むを得ず携帯発電機を使用する場合は、３</w:t>
                      </w:r>
                      <w:r w:rsidR="00C0024A" w:rsidRPr="00741CE9">
                        <w:rPr>
                          <w:rFonts w:asciiTheme="minorEastAsia" w:eastAsiaTheme="minorEastAsia" w:hAnsiTheme="minorEastAsia"/>
                          <w:sz w:val="24"/>
                        </w:rPr>
                        <w:t>を遵守する。）</w:t>
                      </w:r>
                    </w:p>
                    <w:p w:rsidR="00C0024A" w:rsidRPr="00741CE9" w:rsidRDefault="00C0024A"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２</w:t>
                      </w:r>
                      <w:r w:rsidR="00D93C2E" w:rsidRPr="00741CE9">
                        <w:rPr>
                          <w:rFonts w:asciiTheme="majorEastAsia" w:eastAsiaTheme="majorEastAsia" w:hAnsiTheme="majorEastAsia" w:hint="eastAsia"/>
                          <w:sz w:val="24"/>
                          <w:u w:val="single"/>
                        </w:rPr>
                        <w:t xml:space="preserve">　</w:t>
                      </w:r>
                      <w:r w:rsidR="00741CE9" w:rsidRPr="00741CE9">
                        <w:rPr>
                          <w:rFonts w:asciiTheme="majorEastAsia" w:eastAsiaTheme="majorEastAsia" w:hAnsiTheme="majorEastAsia"/>
                          <w:sz w:val="24"/>
                          <w:u w:val="single"/>
                        </w:rPr>
                        <w:t>ＬＰ</w:t>
                      </w:r>
                      <w:r w:rsidRPr="00741CE9">
                        <w:rPr>
                          <w:rFonts w:asciiTheme="majorEastAsia" w:eastAsiaTheme="majorEastAsia" w:hAnsiTheme="majorEastAsia"/>
                          <w:sz w:val="24"/>
                          <w:u w:val="single"/>
                        </w:rPr>
                        <w:t>ガスの使用について （ボンベ・火気使用器具等）</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ボンベは、火気から離れた直射日光の当たらない通気性の良い場所に設置する。</w:t>
                      </w:r>
                    </w:p>
                    <w:p w:rsidR="00C0024A" w:rsidRPr="00741CE9" w:rsidRDefault="00741CE9" w:rsidP="00741CE9">
                      <w:pPr>
                        <w:spacing w:after="0" w:line="240" w:lineRule="auto"/>
                        <w:ind w:leftChars="95" w:left="43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ボンベは、安定した場所に転倒しないよう設置するとともに必要に応じ観客等と区画する。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コンロの周囲は可燃物から１</w:t>
                      </w:r>
                      <w:r>
                        <w:rPr>
                          <w:rFonts w:asciiTheme="minorEastAsia" w:eastAsiaTheme="minorEastAsia" w:hAnsiTheme="minorEastAsia" w:hint="eastAsia"/>
                          <w:sz w:val="24"/>
                        </w:rPr>
                        <w:t>５</w:t>
                      </w:r>
                      <w:r>
                        <w:rPr>
                          <w:rFonts w:asciiTheme="minorEastAsia" w:eastAsiaTheme="minorEastAsia" w:hAnsiTheme="minorEastAsia"/>
                          <w:sz w:val="24"/>
                        </w:rPr>
                        <w:t>ｃｍ以上、上方１</w:t>
                      </w:r>
                      <w:r>
                        <w:rPr>
                          <w:rFonts w:asciiTheme="minorEastAsia" w:eastAsiaTheme="minorEastAsia" w:hAnsiTheme="minorEastAsia" w:hint="eastAsia"/>
                          <w:sz w:val="24"/>
                        </w:rPr>
                        <w:t>ｍ</w:t>
                      </w:r>
                      <w:r w:rsidR="00C0024A" w:rsidRPr="00741CE9">
                        <w:rPr>
                          <w:rFonts w:asciiTheme="minorEastAsia" w:eastAsiaTheme="minorEastAsia" w:hAnsiTheme="minorEastAsia"/>
                          <w:sz w:val="24"/>
                        </w:rPr>
                        <w:t>以上の距離を保つ。</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火気使用器具の周囲は常に整理及び清掃に努める。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ゴムホースは適正な長さで、ひび割れ等の劣化のない専用のものを使用する。</w:t>
                      </w:r>
                    </w:p>
                    <w:p w:rsidR="00C0024A" w:rsidRPr="00741CE9" w:rsidRDefault="00741CE9" w:rsidP="00741CE9">
                      <w:pPr>
                        <w:spacing w:after="0" w:line="240" w:lineRule="auto"/>
                        <w:ind w:leftChars="95" w:left="210" w:hanging="11"/>
                        <w:rPr>
                          <w:rFonts w:asciiTheme="minorEastAsia" w:eastAsiaTheme="minorEastAsia" w:hAnsiTheme="minorEastAsia"/>
                          <w:sz w:val="24"/>
                        </w:rPr>
                      </w:pPr>
                      <w:r>
                        <w:rPr>
                          <w:rFonts w:asciiTheme="minorEastAsia" w:eastAsiaTheme="minorEastAsia" w:hAnsiTheme="minorEastAsia" w:hint="eastAsia"/>
                          <w:sz w:val="24"/>
                        </w:rPr>
                        <w:t>■</w:t>
                      </w:r>
                      <w:r w:rsidR="00D93C2E" w:rsidRPr="00741CE9">
                        <w:rPr>
                          <w:rFonts w:asciiTheme="minorEastAsia" w:eastAsiaTheme="minorEastAsia" w:hAnsiTheme="minorEastAsia"/>
                          <w:sz w:val="24"/>
                        </w:rPr>
                        <w:t>火気使用器具とホースの接続は確実に行</w:t>
                      </w:r>
                      <w:r w:rsidR="00C0024A" w:rsidRPr="00741CE9">
                        <w:rPr>
                          <w:rFonts w:asciiTheme="minorEastAsia" w:eastAsiaTheme="minorEastAsia" w:hAnsiTheme="minorEastAsia"/>
                          <w:sz w:val="24"/>
                        </w:rPr>
                        <w:t>い、ホースバンドで固定する。</w:t>
                      </w:r>
                    </w:p>
                    <w:p w:rsidR="00C0024A" w:rsidRPr="00741CE9" w:rsidRDefault="00741CE9" w:rsidP="00741CE9">
                      <w:pPr>
                        <w:spacing w:after="0" w:line="240" w:lineRule="auto"/>
                        <w:ind w:leftChars="95" w:left="43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sz w:val="24"/>
                        </w:rPr>
                        <w:t>１本のボンベから２本以上の機器に分岐してガスを供給しない。</w:t>
                      </w:r>
                      <w:r w:rsidR="00C0024A" w:rsidRPr="00741CE9">
                        <w:rPr>
                          <w:rFonts w:asciiTheme="minorEastAsia" w:eastAsiaTheme="minorEastAsia" w:hAnsiTheme="minorEastAsia" w:hint="eastAsia"/>
                          <w:sz w:val="24"/>
                        </w:rPr>
                        <w:t>（それぞれに開閉栓を設けた場合を除く）</w:t>
                      </w:r>
                    </w:p>
                    <w:p w:rsidR="00C0024A" w:rsidRPr="00741CE9" w:rsidRDefault="00C0024A" w:rsidP="00D93C2E">
                      <w:pPr>
                        <w:spacing w:after="0" w:line="240" w:lineRule="auto"/>
                        <w:ind w:left="0" w:hanging="11"/>
                        <w:rPr>
                          <w:rFonts w:asciiTheme="majorEastAsia" w:eastAsiaTheme="majorEastAsia" w:hAnsiTheme="majorEastAsia"/>
                          <w:sz w:val="24"/>
                          <w:u w:val="single"/>
                        </w:rPr>
                      </w:pPr>
                      <w:r w:rsidRPr="00741CE9">
                        <w:rPr>
                          <w:rFonts w:asciiTheme="majorEastAsia" w:eastAsiaTheme="majorEastAsia" w:hAnsiTheme="majorEastAsia" w:hint="eastAsia"/>
                          <w:sz w:val="24"/>
                          <w:u w:val="single"/>
                        </w:rPr>
                        <w:t>３</w:t>
                      </w:r>
                      <w:r w:rsidR="00D93C2E" w:rsidRPr="00741CE9">
                        <w:rPr>
                          <w:rFonts w:asciiTheme="majorEastAsia" w:eastAsiaTheme="majorEastAsia" w:hAnsiTheme="majorEastAsia" w:hint="eastAsia"/>
                          <w:sz w:val="24"/>
                          <w:u w:val="single"/>
                        </w:rPr>
                        <w:t xml:space="preserve">　</w:t>
                      </w:r>
                      <w:r w:rsidRPr="00741CE9">
                        <w:rPr>
                          <w:rFonts w:asciiTheme="majorEastAsia" w:eastAsiaTheme="majorEastAsia" w:hAnsiTheme="majorEastAsia"/>
                          <w:sz w:val="24"/>
                          <w:u w:val="single"/>
                        </w:rPr>
                        <w:t>ガソリン等の貯蔵･取扱いについて（送電電気が使用出来ない場合に限る）</w:t>
                      </w:r>
                    </w:p>
                    <w:p w:rsidR="00C0024A" w:rsidRPr="00741CE9" w:rsidRDefault="00C0024A" w:rsidP="00741CE9">
                      <w:pPr>
                        <w:spacing w:after="0" w:line="240" w:lineRule="auto"/>
                        <w:ind w:leftChars="95" w:left="210" w:hanging="11"/>
                        <w:rPr>
                          <w:rFonts w:asciiTheme="minorEastAsia" w:eastAsiaTheme="minorEastAsia" w:hAnsiTheme="minorEastAsia"/>
                          <w:sz w:val="24"/>
                        </w:rPr>
                      </w:pPr>
                      <w:r w:rsidRPr="00741CE9">
                        <w:rPr>
                          <w:rFonts w:asciiTheme="minorEastAsia" w:eastAsiaTheme="minorEastAsia" w:hAnsiTheme="minorEastAsia" w:hint="eastAsia"/>
                          <w:sz w:val="24"/>
                        </w:rPr>
                        <w:t>※ガソリン等の貯蔵、取扱いを行う場合は、事前に消防署へ相談する。</w:t>
                      </w:r>
                    </w:p>
                    <w:p w:rsidR="00C0024A" w:rsidRPr="00741CE9" w:rsidRDefault="00C0024A" w:rsidP="00D93C2E">
                      <w:pPr>
                        <w:spacing w:after="0" w:line="240" w:lineRule="auto"/>
                        <w:ind w:left="0" w:hanging="11"/>
                        <w:rPr>
                          <w:rFonts w:asciiTheme="minorEastAsia" w:eastAsiaTheme="minorEastAsia" w:hAnsiTheme="minorEastAsia"/>
                          <w:sz w:val="24"/>
                        </w:rPr>
                      </w:pPr>
                      <w:r w:rsidRPr="00741CE9">
                        <w:rPr>
                          <w:rFonts w:asciiTheme="minorEastAsia" w:eastAsiaTheme="minorEastAsia" w:hAnsiTheme="minorEastAsia" w:hint="eastAsia"/>
                          <w:sz w:val="24"/>
                        </w:rPr>
                        <w:t>（１）</w:t>
                      </w:r>
                      <w:r w:rsidRPr="00741CE9">
                        <w:rPr>
                          <w:rFonts w:asciiTheme="minorEastAsia" w:eastAsiaTheme="minorEastAsia" w:hAnsiTheme="minorEastAsia"/>
                          <w:sz w:val="24"/>
                        </w:rPr>
                        <w:t>保管・取扱いの一般的な注意事項</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ガソリン等の保管又は取扱い場所では、みだりに火気を使用しない</w:t>
                      </w:r>
                      <w:r w:rsidR="00C0024A" w:rsidRPr="00741CE9">
                        <w:rPr>
                          <w:rFonts w:asciiTheme="minorEastAsia" w:eastAsiaTheme="minorEastAsia" w:hAnsiTheme="minorEastAsia"/>
                          <w:sz w:val="24"/>
                        </w:rPr>
                        <w:t>(ライター･たばこ･たき火</w:t>
                      </w:r>
                      <w:r>
                        <w:rPr>
                          <w:rFonts w:asciiTheme="minorEastAsia" w:eastAsiaTheme="minorEastAsia" w:hAnsiTheme="minorEastAsia"/>
                          <w:sz w:val="24"/>
                        </w:rPr>
                        <w:t>)</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容器は消防法令に適合した金属製容器を使用し、キャップを確実に締める。</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容器は、火気や高温部から離れた、直射日光の当たらない通気性の良い床面で保管する。</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ガソリン等を保管又は取扱う場合は、観客等から十分に安全な距離を取る。</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開口前の圧力調整弁（圧抜き）の操作等は、容器の取扱説明書等に従い適正に行う。</w:t>
                      </w:r>
                    </w:p>
                    <w:p w:rsidR="00C0024A" w:rsidRPr="00741CE9" w:rsidRDefault="00C0024A" w:rsidP="00D93C2E">
                      <w:pPr>
                        <w:spacing w:after="0" w:line="240" w:lineRule="auto"/>
                        <w:ind w:left="0" w:hanging="11"/>
                        <w:rPr>
                          <w:rFonts w:asciiTheme="minorEastAsia" w:eastAsiaTheme="minorEastAsia" w:hAnsiTheme="minorEastAsia"/>
                          <w:sz w:val="24"/>
                        </w:rPr>
                      </w:pPr>
                      <w:r w:rsidRPr="00741CE9">
                        <w:rPr>
                          <w:rFonts w:asciiTheme="minorEastAsia" w:eastAsiaTheme="minorEastAsia" w:hAnsiTheme="minorEastAsia" w:hint="eastAsia"/>
                          <w:sz w:val="24"/>
                        </w:rPr>
                        <w:t>（２）</w:t>
                      </w:r>
                      <w:r w:rsidRPr="00741CE9">
                        <w:rPr>
                          <w:rFonts w:asciiTheme="minorEastAsia" w:eastAsiaTheme="minorEastAsia" w:hAnsiTheme="minorEastAsia"/>
                          <w:sz w:val="24"/>
                        </w:rPr>
                        <w:t>発電機の使用</w:t>
                      </w:r>
                    </w:p>
                    <w:p w:rsidR="00C0024A" w:rsidRPr="00741CE9" w:rsidRDefault="00741CE9" w:rsidP="00741CE9">
                      <w:pPr>
                        <w:spacing w:after="0" w:line="240" w:lineRule="auto"/>
                        <w:ind w:leftChars="195" w:left="649"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ガソリン等を燃料とする発電機を止むを得ず使用する場合は、安全な場所に設置し管理するとともに、必要に応じロープ等により観客等と区画する。</w:t>
                      </w:r>
                    </w:p>
                    <w:p w:rsidR="00C0024A" w:rsidRPr="00741CE9"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発電機の運転中の燃料補給は絶対に行わない。</w:t>
                      </w:r>
                    </w:p>
                    <w:p w:rsidR="00C0024A" w:rsidRDefault="00741CE9" w:rsidP="00741CE9">
                      <w:pPr>
                        <w:spacing w:after="0" w:line="240" w:lineRule="auto"/>
                        <w:ind w:leftChars="195" w:left="420" w:hanging="11"/>
                        <w:rPr>
                          <w:rFonts w:asciiTheme="minorEastAsia" w:eastAsiaTheme="minorEastAsia" w:hAnsiTheme="minorEastAsia"/>
                          <w:sz w:val="24"/>
                        </w:rPr>
                      </w:pPr>
                      <w:r>
                        <w:rPr>
                          <w:rFonts w:asciiTheme="minorEastAsia" w:eastAsiaTheme="minorEastAsia" w:hAnsiTheme="minorEastAsia" w:hint="eastAsia"/>
                          <w:sz w:val="24"/>
                        </w:rPr>
                        <w:t>■</w:t>
                      </w:r>
                      <w:r w:rsidR="00C0024A" w:rsidRPr="00741CE9">
                        <w:rPr>
                          <w:rFonts w:asciiTheme="minorEastAsia" w:eastAsiaTheme="minorEastAsia" w:hAnsiTheme="minorEastAsia" w:hint="eastAsia"/>
                          <w:sz w:val="24"/>
                        </w:rPr>
                        <w:t>イベント開催中は会場内での給油は絶対に行わない。</w:t>
                      </w:r>
                    </w:p>
                    <w:p w:rsidR="00741CE9" w:rsidRDefault="00741CE9" w:rsidP="00741CE9">
                      <w:pPr>
                        <w:spacing w:after="0" w:line="240" w:lineRule="auto"/>
                        <w:ind w:leftChars="195" w:left="420" w:hanging="11"/>
                        <w:rPr>
                          <w:rFonts w:hint="eastAsia"/>
                        </w:rPr>
                      </w:pPr>
                    </w:p>
                  </w:txbxContent>
                </v:textbox>
                <w10:anchorlock/>
              </v:roundrect>
            </w:pict>
          </mc:Fallback>
        </mc:AlternateContent>
      </w:r>
    </w:p>
    <w:p w:rsidR="00AA2396" w:rsidRDefault="00AA2396" w:rsidP="00AA2396">
      <w:pPr>
        <w:spacing w:after="0" w:line="240" w:lineRule="auto"/>
        <w:ind w:left="-5"/>
        <w:rPr>
          <w:rFonts w:ascii="Century" w:eastAsia="Century" w:hAnsi="Century" w:cs="Century"/>
        </w:rPr>
      </w:pPr>
      <w:bookmarkStart w:id="0" w:name="_GoBack"/>
      <w:bookmarkEnd w:id="0"/>
    </w:p>
    <w:p w:rsidR="00600660" w:rsidRDefault="00AA2396" w:rsidP="00AA2396">
      <w:pPr>
        <w:spacing w:after="0" w:line="240" w:lineRule="auto"/>
        <w:ind w:left="-5"/>
        <w:rPr>
          <w:rFonts w:ascii="Century" w:eastAsia="Century" w:hAnsi="Century" w:cs="Century"/>
          <w:sz w:val="24"/>
          <w:szCs w:val="24"/>
        </w:rPr>
      </w:pPr>
      <w:r w:rsidRPr="00741CE9">
        <w:rPr>
          <w:rFonts w:ascii="ＭＳ 明朝" w:eastAsia="ＭＳ 明朝" w:hAnsi="ＭＳ 明朝" w:cs="ＭＳ 明朝"/>
          <w:sz w:val="24"/>
          <w:szCs w:val="24"/>
        </w:rPr>
        <w:t>上記「防火安全指針」に記載の内容を遵守します。</w:t>
      </w:r>
      <w:r w:rsidRPr="00741CE9">
        <w:rPr>
          <w:rFonts w:ascii="Century" w:eastAsia="Century" w:hAnsi="Century" w:cs="Century"/>
          <w:sz w:val="24"/>
          <w:szCs w:val="24"/>
        </w:rPr>
        <w:t xml:space="preserve"> </w:t>
      </w:r>
    </w:p>
    <w:p w:rsidR="00AA2396" w:rsidRPr="00741CE9" w:rsidRDefault="00AA2396" w:rsidP="00AA2396">
      <w:pPr>
        <w:spacing w:after="0" w:line="240" w:lineRule="auto"/>
        <w:ind w:left="-5"/>
        <w:rPr>
          <w:sz w:val="24"/>
          <w:szCs w:val="24"/>
        </w:rPr>
      </w:pPr>
    </w:p>
    <w:p w:rsidR="00600660" w:rsidRDefault="00AA2396" w:rsidP="00AA2396">
      <w:pPr>
        <w:spacing w:after="0" w:line="240" w:lineRule="auto"/>
        <w:ind w:left="-5" w:firstLineChars="100" w:firstLine="240"/>
        <w:rPr>
          <w:rFonts w:ascii="Century" w:eastAsia="Century" w:hAnsi="Century" w:cs="Century"/>
          <w:sz w:val="24"/>
          <w:szCs w:val="24"/>
        </w:rPr>
      </w:pPr>
      <w:r>
        <w:rPr>
          <w:rFonts w:ascii="ＭＳ 明朝" w:eastAsia="ＭＳ 明朝" w:hAnsi="ＭＳ 明朝" w:cs="ＭＳ 明朝" w:hint="eastAsia"/>
          <w:sz w:val="24"/>
          <w:szCs w:val="24"/>
        </w:rPr>
        <w:t>令和５</w:t>
      </w:r>
      <w:r w:rsidRPr="00741CE9">
        <w:rPr>
          <w:rFonts w:ascii="ＭＳ 明朝" w:eastAsia="ＭＳ 明朝" w:hAnsi="ＭＳ 明朝" w:cs="ＭＳ 明朝"/>
          <w:sz w:val="24"/>
          <w:szCs w:val="24"/>
        </w:rPr>
        <w:t>年</w:t>
      </w:r>
      <w:r>
        <w:rPr>
          <w:rFonts w:ascii="ＭＳ 明朝" w:eastAsia="ＭＳ 明朝" w:hAnsi="ＭＳ 明朝" w:cs="ＭＳ 明朝" w:hint="eastAsia"/>
          <w:sz w:val="24"/>
          <w:szCs w:val="24"/>
        </w:rPr>
        <w:t xml:space="preserve">　　　</w:t>
      </w:r>
      <w:r w:rsidRPr="00741CE9">
        <w:rPr>
          <w:rFonts w:ascii="ＭＳ 明朝" w:eastAsia="ＭＳ 明朝" w:hAnsi="ＭＳ 明朝" w:cs="ＭＳ 明朝"/>
          <w:sz w:val="24"/>
          <w:szCs w:val="24"/>
        </w:rPr>
        <w:t>月</w:t>
      </w:r>
      <w:r>
        <w:rPr>
          <w:rFonts w:ascii="ＭＳ 明朝" w:eastAsia="ＭＳ 明朝" w:hAnsi="ＭＳ 明朝" w:cs="ＭＳ 明朝" w:hint="eastAsia"/>
          <w:sz w:val="24"/>
          <w:szCs w:val="24"/>
        </w:rPr>
        <w:t xml:space="preserve">　　　</w:t>
      </w:r>
      <w:r w:rsidRPr="00741CE9">
        <w:rPr>
          <w:rFonts w:ascii="ＭＳ 明朝" w:eastAsia="ＭＳ 明朝" w:hAnsi="ＭＳ 明朝" w:cs="ＭＳ 明朝"/>
          <w:sz w:val="24"/>
          <w:szCs w:val="24"/>
        </w:rPr>
        <w:t>日</w:t>
      </w:r>
      <w:r w:rsidRPr="00741CE9">
        <w:rPr>
          <w:rFonts w:ascii="Century" w:eastAsia="Century" w:hAnsi="Century" w:cs="Century"/>
          <w:sz w:val="24"/>
          <w:szCs w:val="24"/>
        </w:rPr>
        <w:t xml:space="preserve"> </w:t>
      </w:r>
    </w:p>
    <w:p w:rsidR="00AA2396" w:rsidRPr="00741CE9" w:rsidRDefault="00AA2396" w:rsidP="00AA2396">
      <w:pPr>
        <w:spacing w:after="0" w:line="240" w:lineRule="auto"/>
        <w:ind w:left="-5" w:firstLineChars="100" w:firstLine="240"/>
        <w:rPr>
          <w:sz w:val="24"/>
          <w:szCs w:val="24"/>
        </w:rPr>
      </w:pPr>
    </w:p>
    <w:p w:rsidR="00600660" w:rsidRPr="00AA2396" w:rsidRDefault="00AA2396" w:rsidP="00AA2396">
      <w:pPr>
        <w:spacing w:after="0" w:line="240" w:lineRule="auto"/>
        <w:ind w:left="-5" w:firstLineChars="1500" w:firstLine="3600"/>
        <w:rPr>
          <w:rFonts w:eastAsiaTheme="minorEastAsia" w:hint="eastAsia"/>
          <w:sz w:val="24"/>
          <w:szCs w:val="24"/>
        </w:rPr>
      </w:pPr>
      <w:r w:rsidRPr="00741CE9">
        <w:rPr>
          <w:rFonts w:ascii="ＭＳ 明朝" w:eastAsia="ＭＳ 明朝" w:hAnsi="ＭＳ 明朝" w:cs="ＭＳ 明朝"/>
          <w:sz w:val="24"/>
          <w:szCs w:val="24"/>
        </w:rPr>
        <w:t>企</w:t>
      </w:r>
      <w:r>
        <w:rPr>
          <w:rFonts w:ascii="ＭＳ 明朝" w:eastAsia="ＭＳ 明朝" w:hAnsi="ＭＳ 明朝" w:cs="ＭＳ 明朝" w:hint="eastAsia"/>
          <w:sz w:val="24"/>
          <w:szCs w:val="24"/>
        </w:rPr>
        <w:t xml:space="preserve"> </w:t>
      </w:r>
      <w:r w:rsidRPr="00741CE9">
        <w:rPr>
          <w:rFonts w:ascii="ＭＳ 明朝" w:eastAsia="ＭＳ 明朝" w:hAnsi="ＭＳ 明朝" w:cs="ＭＳ 明朝"/>
          <w:sz w:val="24"/>
          <w:szCs w:val="24"/>
        </w:rPr>
        <w:t>業</w:t>
      </w:r>
      <w:r>
        <w:rPr>
          <w:rFonts w:ascii="ＭＳ 明朝" w:eastAsia="ＭＳ 明朝" w:hAnsi="ＭＳ 明朝" w:cs="ＭＳ 明朝" w:hint="eastAsia"/>
          <w:sz w:val="24"/>
          <w:szCs w:val="24"/>
        </w:rPr>
        <w:t xml:space="preserve"> </w:t>
      </w:r>
      <w:r w:rsidRPr="00741CE9">
        <w:rPr>
          <w:rFonts w:ascii="ＭＳ 明朝" w:eastAsia="ＭＳ 明朝" w:hAnsi="ＭＳ 明朝" w:cs="ＭＳ 明朝"/>
          <w:sz w:val="24"/>
          <w:szCs w:val="24"/>
        </w:rPr>
        <w:t>名</w:t>
      </w:r>
      <w:r w:rsidRPr="00AA2396">
        <w:rPr>
          <w:rFonts w:asciiTheme="minorEastAsia" w:eastAsiaTheme="minorEastAsia" w:hAnsiTheme="minorEastAsia" w:cs="Century" w:hint="eastAsia"/>
          <w:sz w:val="24"/>
          <w:szCs w:val="24"/>
        </w:rPr>
        <w:t xml:space="preserve">　　　　　　　　　　　　　　　　　　</w:t>
      </w:r>
    </w:p>
    <w:p w:rsidR="00AA2396" w:rsidRPr="00741CE9" w:rsidRDefault="00AA2396" w:rsidP="00AA2396">
      <w:pPr>
        <w:spacing w:after="0" w:line="240" w:lineRule="auto"/>
        <w:ind w:left="0" w:firstLine="0"/>
        <w:rPr>
          <w:sz w:val="24"/>
          <w:szCs w:val="24"/>
        </w:rPr>
      </w:pPr>
    </w:p>
    <w:p w:rsidR="00C0024A" w:rsidRPr="00AA2396" w:rsidRDefault="00AA2396" w:rsidP="00AA2396">
      <w:pPr>
        <w:spacing w:after="0" w:line="240" w:lineRule="auto"/>
        <w:ind w:left="-5" w:firstLineChars="1500" w:firstLine="3600"/>
        <w:rPr>
          <w:rFonts w:eastAsiaTheme="minorEastAsia" w:hint="eastAsia"/>
        </w:rPr>
      </w:pPr>
      <w:r w:rsidRPr="00741CE9">
        <w:rPr>
          <w:rFonts w:ascii="ＭＳ 明朝" w:eastAsia="ＭＳ 明朝" w:hAnsi="ＭＳ 明朝" w:cs="ＭＳ 明朝"/>
          <w:sz w:val="24"/>
          <w:szCs w:val="24"/>
        </w:rPr>
        <w:t>代表者名</w:t>
      </w:r>
      <w:r>
        <w:rPr>
          <w:rFonts w:asciiTheme="minorEastAsia" w:eastAsiaTheme="minorEastAsia" w:hAnsiTheme="minorEastAsia" w:cs="Century" w:hint="eastAsia"/>
          <w:sz w:val="24"/>
          <w:szCs w:val="24"/>
        </w:rPr>
        <w:t xml:space="preserve">　　　　　　　　　　　　　　　　　　</w:t>
      </w:r>
    </w:p>
    <w:sectPr w:rsidR="00C0024A" w:rsidRPr="00AA2396" w:rsidSect="00C002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4A" w:rsidRDefault="00C0024A" w:rsidP="00C0024A">
      <w:pPr>
        <w:spacing w:after="0" w:line="240" w:lineRule="auto"/>
      </w:pPr>
      <w:r>
        <w:separator/>
      </w:r>
    </w:p>
  </w:endnote>
  <w:endnote w:type="continuationSeparator" w:id="0">
    <w:p w:rsidR="00C0024A" w:rsidRDefault="00C0024A" w:rsidP="00C0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4A" w:rsidRDefault="00C0024A" w:rsidP="00C0024A">
      <w:pPr>
        <w:spacing w:after="0" w:line="240" w:lineRule="auto"/>
      </w:pPr>
      <w:r>
        <w:separator/>
      </w:r>
    </w:p>
  </w:footnote>
  <w:footnote w:type="continuationSeparator" w:id="0">
    <w:p w:rsidR="00C0024A" w:rsidRDefault="00C0024A" w:rsidP="00C0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85C"/>
    <w:multiLevelType w:val="hybridMultilevel"/>
    <w:tmpl w:val="FB6E4604"/>
    <w:lvl w:ilvl="0" w:tplc="806C3F42">
      <w:start w:val="1"/>
      <w:numFmt w:val="decimalFullWidth"/>
      <w:lvlText w:val="%1"/>
      <w:lvlJc w:val="left"/>
      <w:pPr>
        <w:ind w:left="528"/>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1" w:tplc="13CAB0CA">
      <w:start w:val="1"/>
      <w:numFmt w:val="lowerLetter"/>
      <w:lvlText w:val="%2"/>
      <w:lvlJc w:val="left"/>
      <w:pPr>
        <w:ind w:left="130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2" w:tplc="E8C09202">
      <w:start w:val="1"/>
      <w:numFmt w:val="lowerRoman"/>
      <w:lvlText w:val="%3"/>
      <w:lvlJc w:val="left"/>
      <w:pPr>
        <w:ind w:left="202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3" w:tplc="EC644CE8">
      <w:start w:val="1"/>
      <w:numFmt w:val="decimal"/>
      <w:lvlText w:val="%4"/>
      <w:lvlJc w:val="left"/>
      <w:pPr>
        <w:ind w:left="274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4" w:tplc="C56420FE">
      <w:start w:val="1"/>
      <w:numFmt w:val="lowerLetter"/>
      <w:lvlText w:val="%5"/>
      <w:lvlJc w:val="left"/>
      <w:pPr>
        <w:ind w:left="346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5" w:tplc="F5461E9C">
      <w:start w:val="1"/>
      <w:numFmt w:val="lowerRoman"/>
      <w:lvlText w:val="%6"/>
      <w:lvlJc w:val="left"/>
      <w:pPr>
        <w:ind w:left="418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6" w:tplc="A364E0B0">
      <w:start w:val="1"/>
      <w:numFmt w:val="decimal"/>
      <w:lvlText w:val="%7"/>
      <w:lvlJc w:val="left"/>
      <w:pPr>
        <w:ind w:left="490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7" w:tplc="82D24876">
      <w:start w:val="1"/>
      <w:numFmt w:val="lowerLetter"/>
      <w:lvlText w:val="%8"/>
      <w:lvlJc w:val="left"/>
      <w:pPr>
        <w:ind w:left="562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lvl w:ilvl="8" w:tplc="6E1EDA06">
      <w:start w:val="1"/>
      <w:numFmt w:val="lowerRoman"/>
      <w:lvlText w:val="%9"/>
      <w:lvlJc w:val="left"/>
      <w:pPr>
        <w:ind w:left="6346"/>
      </w:pPr>
      <w:rPr>
        <w:rFonts w:ascii="HG丸ｺﾞｼｯｸM-PRO" w:eastAsia="HG丸ｺﾞｼｯｸM-PRO" w:hAnsi="HG丸ｺﾞｼｯｸM-PRO" w:cs="HG丸ｺﾞｼｯｸM-PRO"/>
        <w:b w:val="0"/>
        <w:i w:val="0"/>
        <w:strike w:val="0"/>
        <w:dstrike w:val="0"/>
        <w:color w:val="000000"/>
        <w:sz w:val="21"/>
        <w:szCs w:val="21"/>
        <w:u w:val="single" w:color="000000"/>
        <w:bdr w:val="none" w:sz="0" w:space="0" w:color="auto"/>
        <w:shd w:val="clear" w:color="auto" w:fill="auto"/>
        <w:vertAlign w:val="baseline"/>
      </w:rPr>
    </w:lvl>
  </w:abstractNum>
  <w:abstractNum w:abstractNumId="1" w15:restartNumberingAfterBreak="0">
    <w:nsid w:val="54550E53"/>
    <w:multiLevelType w:val="hybridMultilevel"/>
    <w:tmpl w:val="637E4C78"/>
    <w:lvl w:ilvl="0" w:tplc="2E84D5A2">
      <w:start w:val="1"/>
      <w:numFmt w:val="decimalFullWidth"/>
      <w:lvlText w:val="（%1）"/>
      <w:lvlJc w:val="left"/>
      <w:pPr>
        <w:ind w:left="857"/>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288E5A96">
      <w:start w:val="1"/>
      <w:numFmt w:val="lowerLetter"/>
      <w:lvlText w:val="%2"/>
      <w:lvlJc w:val="left"/>
      <w:pPr>
        <w:ind w:left="130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6449FF2">
      <w:start w:val="1"/>
      <w:numFmt w:val="lowerRoman"/>
      <w:lvlText w:val="%3"/>
      <w:lvlJc w:val="left"/>
      <w:pPr>
        <w:ind w:left="202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A0AEDC38">
      <w:start w:val="1"/>
      <w:numFmt w:val="decimal"/>
      <w:lvlText w:val="%4"/>
      <w:lvlJc w:val="left"/>
      <w:pPr>
        <w:ind w:left="274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A0016FE">
      <w:start w:val="1"/>
      <w:numFmt w:val="lowerLetter"/>
      <w:lvlText w:val="%5"/>
      <w:lvlJc w:val="left"/>
      <w:pPr>
        <w:ind w:left="346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53E8530E">
      <w:start w:val="1"/>
      <w:numFmt w:val="lowerRoman"/>
      <w:lvlText w:val="%6"/>
      <w:lvlJc w:val="left"/>
      <w:pPr>
        <w:ind w:left="418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B6C2B5C0">
      <w:start w:val="1"/>
      <w:numFmt w:val="decimal"/>
      <w:lvlText w:val="%7"/>
      <w:lvlJc w:val="left"/>
      <w:pPr>
        <w:ind w:left="490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FE7A2FD2">
      <w:start w:val="1"/>
      <w:numFmt w:val="lowerLetter"/>
      <w:lvlText w:val="%8"/>
      <w:lvlJc w:val="left"/>
      <w:pPr>
        <w:ind w:left="562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0B20495C">
      <w:start w:val="1"/>
      <w:numFmt w:val="lowerRoman"/>
      <w:lvlText w:val="%9"/>
      <w:lvlJc w:val="left"/>
      <w:pPr>
        <w:ind w:left="6346"/>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60"/>
    <w:rsid w:val="00600660"/>
    <w:rsid w:val="00741CE9"/>
    <w:rsid w:val="00AA2396"/>
    <w:rsid w:val="00C0024A"/>
    <w:rsid w:val="00D9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96EA55E-DB5B-41EF-931D-9B5E3301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3" w:line="259" w:lineRule="auto"/>
      <w:ind w:left="447"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24A"/>
    <w:pPr>
      <w:tabs>
        <w:tab w:val="center" w:pos="4252"/>
        <w:tab w:val="right" w:pos="8504"/>
      </w:tabs>
      <w:snapToGrid w:val="0"/>
    </w:pPr>
  </w:style>
  <w:style w:type="character" w:customStyle="1" w:styleId="a4">
    <w:name w:val="ヘッダー (文字)"/>
    <w:basedOn w:val="a0"/>
    <w:link w:val="a3"/>
    <w:uiPriority w:val="99"/>
    <w:rsid w:val="00C0024A"/>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C0024A"/>
    <w:pPr>
      <w:tabs>
        <w:tab w:val="center" w:pos="4252"/>
        <w:tab w:val="right" w:pos="8504"/>
      </w:tabs>
      <w:snapToGrid w:val="0"/>
    </w:pPr>
  </w:style>
  <w:style w:type="character" w:customStyle="1" w:styleId="a6">
    <w:name w:val="フッター (文字)"/>
    <w:basedOn w:val="a0"/>
    <w:link w:val="a5"/>
    <w:uiPriority w:val="99"/>
    <w:rsid w:val="00C0024A"/>
    <w:rPr>
      <w:rFonts w:ascii="HG丸ｺﾞｼｯｸM-PRO" w:eastAsia="HG丸ｺﾞｼｯｸM-PRO" w:hAnsi="HG丸ｺﾞｼｯｸM-PRO" w:cs="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吉良 謙吾</cp:lastModifiedBy>
  <cp:revision>4</cp:revision>
  <dcterms:created xsi:type="dcterms:W3CDTF">2023-09-10T03:35:00Z</dcterms:created>
  <dcterms:modified xsi:type="dcterms:W3CDTF">2023-09-10T03:51:00Z</dcterms:modified>
</cp:coreProperties>
</file>